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86" w:rsidRDefault="0063011D" w:rsidP="0000756D">
      <w:pPr>
        <w:pStyle w:val="Sinespaciado"/>
        <w:spacing w:line="360" w:lineRule="auto"/>
        <w:jc w:val="right"/>
        <w:rPr>
          <w:rFonts w:ascii="Arial" w:hAnsi="Arial" w:cs="Arial"/>
          <w:sz w:val="24"/>
          <w:szCs w:val="24"/>
        </w:rPr>
      </w:pPr>
      <w:r w:rsidRPr="0063011D">
        <w:rPr>
          <w:rFonts w:ascii="Arial" w:hAnsi="Arial" w:cs="Arial"/>
          <w:noProof/>
          <w:sz w:val="24"/>
          <w:szCs w:val="24"/>
          <w:lang w:eastAsia="es-UY"/>
        </w:rPr>
        <w:drawing>
          <wp:inline distT="0" distB="0" distL="0" distR="0">
            <wp:extent cx="5400040" cy="1047152"/>
            <wp:effectExtent l="19050" t="0" r="0" b="0"/>
            <wp:docPr id="1" name="Imagen 1" descr="C:\Users\Isa\Downloads\cabezal 2019 F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Downloads\cabezal 2019 FUS.png"/>
                    <pic:cNvPicPr>
                      <a:picLocks noChangeAspect="1" noChangeArrowheads="1"/>
                    </pic:cNvPicPr>
                  </pic:nvPicPr>
                  <pic:blipFill>
                    <a:blip r:embed="rId7" cstate="print"/>
                    <a:srcRect/>
                    <a:stretch>
                      <a:fillRect/>
                    </a:stretch>
                  </pic:blipFill>
                  <pic:spPr bwMode="auto">
                    <a:xfrm>
                      <a:off x="0" y="0"/>
                      <a:ext cx="5400040" cy="1047152"/>
                    </a:xfrm>
                    <a:prstGeom prst="rect">
                      <a:avLst/>
                    </a:prstGeom>
                    <a:noFill/>
                    <a:ln w="9525">
                      <a:noFill/>
                      <a:miter lim="800000"/>
                      <a:headEnd/>
                      <a:tailEnd/>
                    </a:ln>
                  </pic:spPr>
                </pic:pic>
              </a:graphicData>
            </a:graphic>
          </wp:inline>
        </w:drawing>
      </w:r>
    </w:p>
    <w:p w:rsidR="00CB1686" w:rsidRPr="0063011D" w:rsidRDefault="00A2590C" w:rsidP="002462E9">
      <w:pPr>
        <w:pStyle w:val="Sinespaciado"/>
        <w:spacing w:line="360" w:lineRule="auto"/>
        <w:jc w:val="right"/>
        <w:rPr>
          <w:rFonts w:ascii="Arial" w:hAnsi="Arial" w:cs="Arial"/>
        </w:rPr>
      </w:pPr>
      <w:r>
        <w:rPr>
          <w:rFonts w:ascii="Arial" w:hAnsi="Arial" w:cs="Arial"/>
        </w:rPr>
        <w:t>Montevideo, 23 de setiembre</w:t>
      </w:r>
      <w:r w:rsidR="00965DC3" w:rsidRPr="0063011D">
        <w:rPr>
          <w:rFonts w:ascii="Arial" w:hAnsi="Arial" w:cs="Arial"/>
        </w:rPr>
        <w:t xml:space="preserve"> de 2019</w:t>
      </w:r>
    </w:p>
    <w:p w:rsidR="002462E9" w:rsidRPr="002462E9" w:rsidRDefault="002462E9" w:rsidP="002462E9">
      <w:pPr>
        <w:pStyle w:val="Sinespaciado"/>
        <w:spacing w:line="360" w:lineRule="auto"/>
        <w:jc w:val="right"/>
        <w:rPr>
          <w:rFonts w:ascii="Arial" w:hAnsi="Arial" w:cs="Arial"/>
          <w:sz w:val="24"/>
          <w:szCs w:val="24"/>
        </w:rPr>
      </w:pPr>
    </w:p>
    <w:p w:rsidR="0054760A" w:rsidRDefault="0054760A" w:rsidP="0054760A">
      <w:pPr>
        <w:pStyle w:val="Sinespaciado"/>
        <w:jc w:val="center"/>
        <w:rPr>
          <w:rFonts w:ascii="Arial" w:hAnsi="Arial" w:cs="Arial"/>
          <w:b/>
          <w:sz w:val="24"/>
          <w:szCs w:val="24"/>
        </w:rPr>
      </w:pPr>
      <w:r w:rsidRPr="0054760A">
        <w:rPr>
          <w:rFonts w:ascii="Arial" w:hAnsi="Arial" w:cs="Arial"/>
          <w:b/>
          <w:sz w:val="24"/>
          <w:szCs w:val="24"/>
        </w:rPr>
        <w:t>POSICION DE  FUS SOBR</w:t>
      </w:r>
      <w:r>
        <w:rPr>
          <w:rFonts w:ascii="Arial" w:hAnsi="Arial" w:cs="Arial"/>
          <w:b/>
          <w:sz w:val="24"/>
          <w:szCs w:val="24"/>
        </w:rPr>
        <w:t xml:space="preserve">E EL DOCUMENTO PRESENTADO POR LOS PRESTADORES DE SALUD, </w:t>
      </w:r>
      <w:r w:rsidRPr="0054760A">
        <w:rPr>
          <w:rFonts w:ascii="Arial" w:hAnsi="Arial" w:cs="Arial"/>
          <w:b/>
          <w:sz w:val="24"/>
          <w:szCs w:val="24"/>
        </w:rPr>
        <w:t xml:space="preserve"> DENOMINADO</w:t>
      </w:r>
    </w:p>
    <w:p w:rsidR="00975CEA" w:rsidRDefault="0054760A" w:rsidP="0054760A">
      <w:pPr>
        <w:pStyle w:val="Sinespaciado"/>
        <w:jc w:val="center"/>
        <w:rPr>
          <w:rFonts w:ascii="Arial" w:hAnsi="Arial" w:cs="Arial"/>
          <w:b/>
          <w:sz w:val="24"/>
          <w:szCs w:val="24"/>
        </w:rPr>
      </w:pPr>
      <w:r w:rsidRPr="0054760A">
        <w:rPr>
          <w:rFonts w:ascii="Arial" w:hAnsi="Arial" w:cs="Arial"/>
          <w:b/>
          <w:sz w:val="24"/>
          <w:szCs w:val="24"/>
        </w:rPr>
        <w:t>“ADECUACION POR CATEGORIAS”.</w:t>
      </w:r>
    </w:p>
    <w:p w:rsidR="0054760A" w:rsidRDefault="0054760A" w:rsidP="0054760A">
      <w:pPr>
        <w:pStyle w:val="Sinespaciado"/>
        <w:jc w:val="center"/>
        <w:rPr>
          <w:rFonts w:ascii="Arial" w:hAnsi="Arial" w:cs="Arial"/>
          <w:b/>
          <w:sz w:val="24"/>
          <w:szCs w:val="24"/>
        </w:rPr>
      </w:pPr>
    </w:p>
    <w:p w:rsidR="00CB0FE7" w:rsidRDefault="0054760A" w:rsidP="00CB0FE7">
      <w:pPr>
        <w:pStyle w:val="Sinespaciado"/>
        <w:jc w:val="both"/>
        <w:rPr>
          <w:rFonts w:ascii="Arial" w:hAnsi="Arial" w:cs="Arial"/>
          <w:i/>
          <w:sz w:val="24"/>
          <w:szCs w:val="24"/>
        </w:rPr>
      </w:pPr>
      <w:r>
        <w:rPr>
          <w:rFonts w:ascii="Arial" w:hAnsi="Arial" w:cs="Arial"/>
          <w:i/>
          <w:sz w:val="24"/>
          <w:szCs w:val="24"/>
        </w:rPr>
        <w:t xml:space="preserve">Los trabajadores no médicos de la salud privada nucleados en su organización sindical, Federación Uruguaya de la Salud, damos a conocer a los participantes en la comisión sobre Nuevas categorías Laborales, resuelta en el Convenio colectivo vigente </w:t>
      </w:r>
      <w:r w:rsidR="00CB0FE7">
        <w:rPr>
          <w:rFonts w:ascii="Arial" w:hAnsi="Arial" w:cs="Arial"/>
          <w:i/>
          <w:sz w:val="24"/>
          <w:szCs w:val="24"/>
        </w:rPr>
        <w:t xml:space="preserve">firmado el pasado 9 de octubre de 2018, anexo 2, ante  el documento  dado a conocer por los prestadores de salud, denominado </w:t>
      </w:r>
    </w:p>
    <w:p w:rsidR="00CB0FE7" w:rsidRDefault="00CB0FE7" w:rsidP="00CB0FE7">
      <w:pPr>
        <w:pStyle w:val="Sinespaciado"/>
        <w:jc w:val="both"/>
        <w:rPr>
          <w:rFonts w:ascii="Arial" w:hAnsi="Arial" w:cs="Arial"/>
          <w:i/>
          <w:sz w:val="24"/>
          <w:szCs w:val="24"/>
        </w:rPr>
      </w:pPr>
      <w:r>
        <w:rPr>
          <w:rFonts w:ascii="Arial" w:hAnsi="Arial" w:cs="Arial"/>
          <w:i/>
          <w:sz w:val="24"/>
          <w:szCs w:val="24"/>
        </w:rPr>
        <w:t>“Adecuación por categorías” nuestra posición formal ante el mismo.</w:t>
      </w:r>
    </w:p>
    <w:p w:rsidR="00606F10" w:rsidRDefault="00606F10" w:rsidP="00CB0FE7">
      <w:pPr>
        <w:pStyle w:val="Sinespaciado"/>
        <w:jc w:val="both"/>
        <w:rPr>
          <w:rFonts w:ascii="Arial" w:hAnsi="Arial" w:cs="Arial"/>
          <w:i/>
          <w:sz w:val="24"/>
          <w:szCs w:val="24"/>
        </w:rPr>
      </w:pPr>
    </w:p>
    <w:p w:rsidR="00606F10" w:rsidRDefault="00CB0FE7" w:rsidP="00CB0FE7">
      <w:pPr>
        <w:pStyle w:val="Sinespaciado"/>
        <w:jc w:val="both"/>
        <w:rPr>
          <w:rFonts w:ascii="Arial" w:hAnsi="Arial" w:cs="Arial"/>
          <w:i/>
          <w:sz w:val="24"/>
          <w:szCs w:val="24"/>
        </w:rPr>
      </w:pPr>
      <w:r>
        <w:rPr>
          <w:rFonts w:ascii="Arial" w:hAnsi="Arial" w:cs="Arial"/>
          <w:i/>
          <w:sz w:val="24"/>
          <w:szCs w:val="24"/>
        </w:rPr>
        <w:t xml:space="preserve">Los trabajadores seguimos sosteniendo la idea de que el </w:t>
      </w:r>
      <w:r w:rsidR="00606F10">
        <w:rPr>
          <w:rFonts w:ascii="Arial" w:hAnsi="Arial" w:cs="Arial"/>
          <w:i/>
          <w:sz w:val="24"/>
          <w:szCs w:val="24"/>
        </w:rPr>
        <w:t>título</w:t>
      </w:r>
      <w:r>
        <w:rPr>
          <w:rFonts w:ascii="Arial" w:hAnsi="Arial" w:cs="Arial"/>
          <w:i/>
          <w:sz w:val="24"/>
          <w:szCs w:val="24"/>
        </w:rPr>
        <w:t xml:space="preserve"> de licenciado da cuenta de nuevos conocimientos y habilidades </w:t>
      </w:r>
      <w:r w:rsidR="003F27C3">
        <w:rPr>
          <w:rFonts w:ascii="Arial" w:hAnsi="Arial" w:cs="Arial"/>
          <w:i/>
          <w:sz w:val="24"/>
          <w:szCs w:val="24"/>
        </w:rPr>
        <w:t>(competencias</w:t>
      </w:r>
      <w:r>
        <w:rPr>
          <w:rFonts w:ascii="Arial" w:hAnsi="Arial" w:cs="Arial"/>
          <w:i/>
          <w:sz w:val="24"/>
          <w:szCs w:val="24"/>
        </w:rPr>
        <w:t>) que le imprimen una nueva forma de desarrollar las tareas y por lo tanto justifica la diferenciación salarial con respe</w:t>
      </w:r>
      <w:r w:rsidR="003F27C3">
        <w:rPr>
          <w:rFonts w:ascii="Arial" w:hAnsi="Arial" w:cs="Arial"/>
          <w:i/>
          <w:sz w:val="24"/>
          <w:szCs w:val="24"/>
        </w:rPr>
        <w:t>c</w:t>
      </w:r>
      <w:r>
        <w:rPr>
          <w:rFonts w:ascii="Arial" w:hAnsi="Arial" w:cs="Arial"/>
          <w:i/>
          <w:sz w:val="24"/>
          <w:szCs w:val="24"/>
        </w:rPr>
        <w:t>to a las tecnicaturas</w:t>
      </w:r>
    </w:p>
    <w:p w:rsidR="00CB0FE7" w:rsidRDefault="00CB0FE7" w:rsidP="00CB0FE7">
      <w:pPr>
        <w:pStyle w:val="Sinespaciado"/>
        <w:jc w:val="both"/>
        <w:rPr>
          <w:rFonts w:ascii="Arial" w:hAnsi="Arial" w:cs="Arial"/>
          <w:i/>
          <w:sz w:val="24"/>
          <w:szCs w:val="24"/>
        </w:rPr>
      </w:pPr>
      <w:r>
        <w:rPr>
          <w:rFonts w:ascii="Arial" w:hAnsi="Arial" w:cs="Arial"/>
          <w:i/>
          <w:sz w:val="24"/>
          <w:szCs w:val="24"/>
        </w:rPr>
        <w:t xml:space="preserve"> </w:t>
      </w:r>
    </w:p>
    <w:p w:rsidR="003F27C3" w:rsidRDefault="003F27C3" w:rsidP="00CB0FE7">
      <w:pPr>
        <w:pStyle w:val="Sinespaciado"/>
        <w:jc w:val="both"/>
        <w:rPr>
          <w:rFonts w:ascii="Arial" w:hAnsi="Arial" w:cs="Arial"/>
          <w:i/>
          <w:sz w:val="24"/>
          <w:szCs w:val="24"/>
        </w:rPr>
      </w:pPr>
      <w:r>
        <w:rPr>
          <w:rFonts w:ascii="Arial" w:hAnsi="Arial" w:cs="Arial"/>
          <w:i/>
          <w:sz w:val="24"/>
          <w:szCs w:val="24"/>
        </w:rPr>
        <w:t xml:space="preserve">No obstante ello y entendiendo la FUS que la única posibilidad de acercamiento de las posiciones llevo a considerar un camino intermedio que implicaba identificar diferencias notorias entre las tareas y funciones entre los licenciados y los técnicos en una docena de casos (licenciaturas) y asignarle un valor </w:t>
      </w:r>
      <w:r w:rsidR="00606F10">
        <w:rPr>
          <w:rFonts w:ascii="Arial" w:hAnsi="Arial" w:cs="Arial"/>
          <w:i/>
          <w:sz w:val="24"/>
          <w:szCs w:val="24"/>
        </w:rPr>
        <w:t>(Laudo</w:t>
      </w:r>
      <w:r>
        <w:rPr>
          <w:rFonts w:ascii="Arial" w:hAnsi="Arial" w:cs="Arial"/>
          <w:i/>
          <w:sz w:val="24"/>
          <w:szCs w:val="24"/>
        </w:rPr>
        <w:t>) aceptamos recorrer este camino.</w:t>
      </w:r>
    </w:p>
    <w:p w:rsidR="003F27C3" w:rsidRDefault="003F27C3" w:rsidP="00CB0FE7">
      <w:pPr>
        <w:pStyle w:val="Sinespaciado"/>
        <w:jc w:val="both"/>
        <w:rPr>
          <w:rFonts w:ascii="Arial" w:hAnsi="Arial" w:cs="Arial"/>
          <w:i/>
          <w:sz w:val="24"/>
          <w:szCs w:val="24"/>
        </w:rPr>
      </w:pPr>
      <w:r>
        <w:rPr>
          <w:rFonts w:ascii="Arial" w:hAnsi="Arial" w:cs="Arial"/>
          <w:i/>
          <w:sz w:val="24"/>
          <w:szCs w:val="24"/>
        </w:rPr>
        <w:t>La tarea demando más de 3 meses de negociaciones, a las que se suman, reuniones estrictamente técnicas para  hallar las diferenciaciones.</w:t>
      </w:r>
    </w:p>
    <w:p w:rsidR="003F27C3" w:rsidRDefault="003F27C3" w:rsidP="00CB0FE7">
      <w:pPr>
        <w:pStyle w:val="Sinespaciado"/>
        <w:jc w:val="both"/>
        <w:rPr>
          <w:rFonts w:ascii="Arial" w:hAnsi="Arial" w:cs="Arial"/>
          <w:i/>
          <w:sz w:val="24"/>
          <w:szCs w:val="24"/>
        </w:rPr>
      </w:pPr>
      <w:r>
        <w:rPr>
          <w:rFonts w:ascii="Arial" w:hAnsi="Arial" w:cs="Arial"/>
          <w:i/>
          <w:sz w:val="24"/>
          <w:szCs w:val="24"/>
        </w:rPr>
        <w:t>Luego de 11 rondas de negociación, se había logrado identificar funciones y tareas diferentes en solo 3 casos: Nutrición, Piscología y Registros Médicos.</w:t>
      </w:r>
    </w:p>
    <w:p w:rsidR="00606F10" w:rsidRDefault="00606F10" w:rsidP="00CB0FE7">
      <w:pPr>
        <w:pStyle w:val="Sinespaciado"/>
        <w:jc w:val="both"/>
        <w:rPr>
          <w:rFonts w:ascii="Arial" w:hAnsi="Arial" w:cs="Arial"/>
          <w:i/>
          <w:sz w:val="24"/>
          <w:szCs w:val="24"/>
        </w:rPr>
      </w:pPr>
    </w:p>
    <w:p w:rsidR="003F27C3" w:rsidRDefault="003F27C3" w:rsidP="00CB0FE7">
      <w:pPr>
        <w:pStyle w:val="Sinespaciado"/>
        <w:jc w:val="both"/>
        <w:rPr>
          <w:rFonts w:ascii="Arial" w:hAnsi="Arial" w:cs="Arial"/>
          <w:i/>
          <w:sz w:val="24"/>
          <w:szCs w:val="24"/>
        </w:rPr>
      </w:pPr>
      <w:r>
        <w:rPr>
          <w:rFonts w:ascii="Arial" w:hAnsi="Arial" w:cs="Arial"/>
          <w:i/>
          <w:sz w:val="24"/>
          <w:szCs w:val="24"/>
        </w:rPr>
        <w:t>Sin embargo y cuando los documentos presentados por la FUS primeramente y posteriormente por el MSP estarían demostrando dichas diferencias, los prestadores de salud presentaron un nuevo documento, que da cuenta no solo de objeciones supuestamente técnicas en algunos casos, si no que le agregan los inconvenientes o riesgos de la implementación de estas eventuales diferenciaciones.</w:t>
      </w:r>
    </w:p>
    <w:p w:rsidR="00AD0257" w:rsidRDefault="003F27C3" w:rsidP="00CB0FE7">
      <w:pPr>
        <w:pStyle w:val="Sinespaciado"/>
        <w:jc w:val="both"/>
        <w:rPr>
          <w:rFonts w:ascii="Arial" w:hAnsi="Arial" w:cs="Arial"/>
          <w:b/>
          <w:i/>
          <w:sz w:val="24"/>
          <w:szCs w:val="24"/>
        </w:rPr>
      </w:pPr>
      <w:r w:rsidRPr="00522A9E">
        <w:rPr>
          <w:rFonts w:ascii="Arial" w:hAnsi="Arial" w:cs="Arial"/>
          <w:b/>
          <w:i/>
          <w:sz w:val="24"/>
          <w:szCs w:val="24"/>
        </w:rPr>
        <w:t xml:space="preserve">Dicho de otra manera, su principal preocupación por los problemas </w:t>
      </w:r>
      <w:r w:rsidR="00522A9E" w:rsidRPr="00522A9E">
        <w:rPr>
          <w:rFonts w:ascii="Arial" w:hAnsi="Arial" w:cs="Arial"/>
          <w:b/>
          <w:i/>
          <w:sz w:val="24"/>
          <w:szCs w:val="24"/>
        </w:rPr>
        <w:t>practicos</w:t>
      </w:r>
      <w:r w:rsidRPr="00522A9E">
        <w:rPr>
          <w:rFonts w:ascii="Arial" w:hAnsi="Arial" w:cs="Arial"/>
          <w:b/>
          <w:i/>
          <w:sz w:val="24"/>
          <w:szCs w:val="24"/>
        </w:rPr>
        <w:t xml:space="preserve"> o jurídicos que</w:t>
      </w:r>
      <w:r w:rsidR="00522A9E" w:rsidRPr="00522A9E">
        <w:rPr>
          <w:rFonts w:ascii="Arial" w:hAnsi="Arial" w:cs="Arial"/>
          <w:b/>
          <w:i/>
          <w:sz w:val="24"/>
          <w:szCs w:val="24"/>
        </w:rPr>
        <w:t xml:space="preserve"> podrían </w:t>
      </w:r>
      <w:r w:rsidRPr="00522A9E">
        <w:rPr>
          <w:rFonts w:ascii="Arial" w:hAnsi="Arial" w:cs="Arial"/>
          <w:b/>
          <w:i/>
          <w:sz w:val="24"/>
          <w:szCs w:val="24"/>
        </w:rPr>
        <w:t>sobrellevar estas diferenciaciones, esta por encima de lo conceptual o técnico.</w:t>
      </w:r>
    </w:p>
    <w:p w:rsidR="00522A9E" w:rsidRPr="00522A9E" w:rsidRDefault="00522A9E" w:rsidP="00CB0FE7">
      <w:pPr>
        <w:pStyle w:val="Sinespaciado"/>
        <w:jc w:val="both"/>
        <w:rPr>
          <w:rFonts w:ascii="Arial" w:hAnsi="Arial" w:cs="Arial"/>
          <w:i/>
          <w:sz w:val="24"/>
          <w:szCs w:val="24"/>
        </w:rPr>
      </w:pPr>
    </w:p>
    <w:p w:rsidR="00522A9E" w:rsidRDefault="00AD0257" w:rsidP="00DB0DD0">
      <w:pPr>
        <w:pStyle w:val="Sinespaciado"/>
        <w:jc w:val="both"/>
        <w:rPr>
          <w:rFonts w:ascii="Arial" w:hAnsi="Arial" w:cs="Arial"/>
          <w:i/>
          <w:sz w:val="24"/>
          <w:szCs w:val="24"/>
        </w:rPr>
      </w:pPr>
      <w:r>
        <w:rPr>
          <w:rFonts w:ascii="Arial" w:hAnsi="Arial" w:cs="Arial"/>
          <w:i/>
          <w:sz w:val="24"/>
          <w:szCs w:val="24"/>
        </w:rPr>
        <w:t>Además entendemos</w:t>
      </w:r>
      <w:r w:rsidR="00DB0DD0">
        <w:rPr>
          <w:rFonts w:ascii="Arial" w:hAnsi="Arial" w:cs="Arial"/>
          <w:i/>
          <w:sz w:val="24"/>
          <w:szCs w:val="24"/>
        </w:rPr>
        <w:t xml:space="preserve"> que</w:t>
      </w:r>
      <w:r>
        <w:rPr>
          <w:rFonts w:ascii="Arial" w:hAnsi="Arial" w:cs="Arial"/>
          <w:i/>
          <w:sz w:val="24"/>
          <w:szCs w:val="24"/>
        </w:rPr>
        <w:t xml:space="preserve"> </w:t>
      </w:r>
      <w:r w:rsidR="00DB0DD0">
        <w:rPr>
          <w:rFonts w:ascii="Arial" w:hAnsi="Arial" w:cs="Arial"/>
          <w:i/>
          <w:sz w:val="24"/>
          <w:szCs w:val="24"/>
        </w:rPr>
        <w:t>e</w:t>
      </w:r>
      <w:r w:rsidR="00F3773B" w:rsidRPr="00F3773B">
        <w:rPr>
          <w:rFonts w:ascii="Arial" w:hAnsi="Arial" w:cs="Arial"/>
          <w:i/>
          <w:sz w:val="24"/>
          <w:szCs w:val="24"/>
        </w:rPr>
        <w:t>l documento presentado por las instituciones, no solo “privilegia” los problemas de implementación, sino que restringen aún más, la cobertura de los casos, por demás menor al ya previsto.</w:t>
      </w:r>
    </w:p>
    <w:p w:rsidR="00F3773B" w:rsidRDefault="00F3773B" w:rsidP="00DB0DD0">
      <w:pPr>
        <w:pStyle w:val="Sinespaciado"/>
        <w:jc w:val="both"/>
        <w:rPr>
          <w:rFonts w:ascii="Arial" w:hAnsi="Arial" w:cs="Arial"/>
          <w:i/>
          <w:sz w:val="24"/>
          <w:szCs w:val="24"/>
        </w:rPr>
      </w:pPr>
      <w:r w:rsidRPr="00F3773B">
        <w:rPr>
          <w:rFonts w:ascii="Arial" w:hAnsi="Arial" w:cs="Arial"/>
          <w:i/>
          <w:sz w:val="24"/>
          <w:szCs w:val="24"/>
        </w:rPr>
        <w:t xml:space="preserve"> A saber, si bien para el caso de Registros Médicos no presentan restricciones, lo cual implica que abarcaría a la totalidad de los licenciados que realicen dichas tareas diferenciadas; señalan diferencias para el caso de Psicología, y de </w:t>
      </w:r>
      <w:r w:rsidRPr="00F3773B">
        <w:rPr>
          <w:rFonts w:ascii="Arial" w:hAnsi="Arial" w:cs="Arial"/>
          <w:i/>
          <w:sz w:val="24"/>
          <w:szCs w:val="24"/>
        </w:rPr>
        <w:lastRenderedPageBreak/>
        <w:t>Nutrición que implicaría, que no cubre a la totalidad de los casos. Por ejemplo, en Nutrición solamente a los licenciados que realicen tareas diferenciadas con los técnicos, pero exclusivamente para aquellos que la realicen en Policlínica.</w:t>
      </w:r>
    </w:p>
    <w:p w:rsidR="00522A9E" w:rsidRDefault="00522A9E" w:rsidP="00DB0DD0">
      <w:pPr>
        <w:pStyle w:val="Sinespaciado"/>
        <w:jc w:val="both"/>
        <w:rPr>
          <w:rFonts w:ascii="Arial" w:hAnsi="Arial" w:cs="Arial"/>
          <w:i/>
          <w:sz w:val="24"/>
          <w:szCs w:val="24"/>
        </w:rPr>
      </w:pPr>
    </w:p>
    <w:p w:rsidR="00F3773B" w:rsidRDefault="00F3773B" w:rsidP="00F3773B">
      <w:pPr>
        <w:spacing w:line="240" w:lineRule="auto"/>
        <w:jc w:val="both"/>
        <w:rPr>
          <w:rFonts w:ascii="Arial" w:hAnsi="Arial" w:cs="Arial"/>
          <w:i/>
          <w:sz w:val="24"/>
          <w:szCs w:val="24"/>
        </w:rPr>
      </w:pPr>
      <w:r w:rsidRPr="00522A9E">
        <w:rPr>
          <w:rFonts w:ascii="Arial" w:hAnsi="Arial" w:cs="Arial"/>
          <w:b/>
          <w:i/>
          <w:sz w:val="24"/>
          <w:szCs w:val="24"/>
        </w:rPr>
        <w:t>Por lo tan</w:t>
      </w:r>
      <w:r w:rsidR="00522A9E" w:rsidRPr="00522A9E">
        <w:rPr>
          <w:rFonts w:ascii="Arial" w:hAnsi="Arial" w:cs="Arial"/>
          <w:b/>
          <w:i/>
          <w:sz w:val="24"/>
          <w:szCs w:val="24"/>
        </w:rPr>
        <w:t>to, el documento de los prestadores de salud</w:t>
      </w:r>
      <w:r w:rsidRPr="00522A9E">
        <w:rPr>
          <w:rFonts w:ascii="Arial" w:hAnsi="Arial" w:cs="Arial"/>
          <w:b/>
          <w:i/>
          <w:sz w:val="24"/>
          <w:szCs w:val="24"/>
        </w:rPr>
        <w:t>, no solo reduce la totalidad de las licenciaturas a solo tres, sino que en la mayoría de esos casos, las limita, lo cual implica que no abarca a l</w:t>
      </w:r>
      <w:r w:rsidR="00522A9E">
        <w:rPr>
          <w:rFonts w:ascii="Arial" w:hAnsi="Arial" w:cs="Arial"/>
          <w:b/>
          <w:i/>
          <w:sz w:val="24"/>
          <w:szCs w:val="24"/>
        </w:rPr>
        <w:t>a totalidad de los licenciados</w:t>
      </w:r>
      <w:r w:rsidRPr="00522A9E">
        <w:rPr>
          <w:rFonts w:ascii="Arial" w:hAnsi="Arial" w:cs="Arial"/>
          <w:b/>
          <w:i/>
          <w:sz w:val="24"/>
          <w:szCs w:val="24"/>
        </w:rPr>
        <w:t>. Disponiendo de este modo, situacio</w:t>
      </w:r>
      <w:r w:rsidR="00600909" w:rsidRPr="00522A9E">
        <w:rPr>
          <w:rFonts w:ascii="Arial" w:hAnsi="Arial" w:cs="Arial"/>
          <w:b/>
          <w:i/>
          <w:sz w:val="24"/>
          <w:szCs w:val="24"/>
        </w:rPr>
        <w:t>nes desiguales de remuneración, como por ejemplo en</w:t>
      </w:r>
      <w:r w:rsidRPr="00522A9E">
        <w:rPr>
          <w:rFonts w:ascii="Arial" w:hAnsi="Arial" w:cs="Arial"/>
          <w:b/>
          <w:i/>
          <w:sz w:val="24"/>
          <w:szCs w:val="24"/>
        </w:rPr>
        <w:t xml:space="preserve"> el caso de los Nutricionistas, por el lugar de trabajo</w:t>
      </w:r>
      <w:r w:rsidRPr="00F3773B">
        <w:rPr>
          <w:rFonts w:ascii="Arial" w:hAnsi="Arial" w:cs="Arial"/>
          <w:i/>
          <w:sz w:val="24"/>
          <w:szCs w:val="24"/>
        </w:rPr>
        <w:t>.</w:t>
      </w:r>
    </w:p>
    <w:p w:rsidR="00F3773B" w:rsidRDefault="00F3773B" w:rsidP="00F3773B">
      <w:pPr>
        <w:spacing w:line="240" w:lineRule="auto"/>
        <w:jc w:val="both"/>
        <w:rPr>
          <w:rFonts w:ascii="Arial" w:hAnsi="Arial" w:cs="Arial"/>
          <w:i/>
          <w:sz w:val="24"/>
          <w:szCs w:val="24"/>
        </w:rPr>
      </w:pPr>
      <w:r w:rsidRPr="00F3773B">
        <w:rPr>
          <w:rFonts w:ascii="Arial" w:hAnsi="Arial" w:cs="Arial"/>
          <w:i/>
          <w:sz w:val="24"/>
          <w:szCs w:val="24"/>
        </w:rPr>
        <w:t>El documento no se agota en limitar el acceso de los trabajadores a la categoría, en las pocas “licenciaturas” en las que se identificaron notorias diferencias con respecto al técnico. Sino que además, en aras de protegerse ante</w:t>
      </w:r>
      <w:r>
        <w:rPr>
          <w:rFonts w:ascii="Arial" w:hAnsi="Arial" w:cs="Arial"/>
          <w:i/>
          <w:sz w:val="24"/>
          <w:szCs w:val="24"/>
        </w:rPr>
        <w:t xml:space="preserve"> </w:t>
      </w:r>
      <w:r w:rsidRPr="00F3773B">
        <w:rPr>
          <w:rFonts w:ascii="Arial" w:hAnsi="Arial" w:cs="Arial"/>
          <w:i/>
          <w:sz w:val="24"/>
          <w:szCs w:val="24"/>
        </w:rPr>
        <w:t>riesgos de reclamos por su implementación, despliega una serie de condicionamien</w:t>
      </w:r>
      <w:r w:rsidR="00066038">
        <w:rPr>
          <w:rFonts w:ascii="Arial" w:hAnsi="Arial" w:cs="Arial"/>
          <w:i/>
          <w:sz w:val="24"/>
          <w:szCs w:val="24"/>
        </w:rPr>
        <w:t>tos, para aquellos licenciados</w:t>
      </w:r>
      <w:r w:rsidRPr="00F3773B">
        <w:rPr>
          <w:rFonts w:ascii="Arial" w:hAnsi="Arial" w:cs="Arial"/>
          <w:i/>
          <w:sz w:val="24"/>
          <w:szCs w:val="24"/>
        </w:rPr>
        <w:t xml:space="preserve"> que no fueron abarcados, que desempeñando funciones de licenciados y ostentando el título, “debieran” cumplir para acceder al cargo.</w:t>
      </w:r>
    </w:p>
    <w:p w:rsidR="00F3773B" w:rsidRPr="00066038" w:rsidRDefault="00F3773B" w:rsidP="00F3773B">
      <w:pPr>
        <w:spacing w:line="240" w:lineRule="auto"/>
        <w:jc w:val="both"/>
        <w:rPr>
          <w:rFonts w:ascii="Arial" w:hAnsi="Arial" w:cs="Arial"/>
          <w:i/>
          <w:sz w:val="24"/>
          <w:szCs w:val="24"/>
        </w:rPr>
      </w:pPr>
      <w:r w:rsidRPr="00066038">
        <w:rPr>
          <w:rFonts w:ascii="Arial" w:hAnsi="Arial" w:cs="Arial"/>
          <w:b/>
          <w:i/>
          <w:sz w:val="24"/>
          <w:szCs w:val="24"/>
        </w:rPr>
        <w:t>El documento por tanto, pone en entredicho no solo lo conceptual vs lo práctico, sino que lo confunde. La Comisión tenía por cometido identificar las diferencias en las tareas y funciones entre los técnicos y los licenciados y ponerle valor. Si bien, se limitó para tres casos, eso fue alcanzado en las comisiones técnicas, restaba entonces ponerle valor. Incluso en este punto también existe discrepancia a pesar de lo expresado anteriormente. La FUS oportunamente propuso una diferenciación salarial en el orden de 16%, en tanto las instituciones, apenas</w:t>
      </w:r>
      <w:r w:rsidR="00675293" w:rsidRPr="00066038">
        <w:rPr>
          <w:rFonts w:ascii="Arial" w:hAnsi="Arial" w:cs="Arial"/>
          <w:b/>
          <w:i/>
          <w:sz w:val="24"/>
          <w:szCs w:val="24"/>
        </w:rPr>
        <w:t xml:space="preserve"> ofrecen un</w:t>
      </w:r>
      <w:r w:rsidR="00D002D8" w:rsidRPr="00066038">
        <w:rPr>
          <w:rFonts w:ascii="Arial" w:hAnsi="Arial" w:cs="Arial"/>
          <w:b/>
          <w:i/>
          <w:sz w:val="24"/>
          <w:szCs w:val="24"/>
        </w:rPr>
        <w:t xml:space="preserve"> 10%, c</w:t>
      </w:r>
      <w:r w:rsidRPr="00066038">
        <w:rPr>
          <w:rFonts w:ascii="Arial" w:hAnsi="Arial" w:cs="Arial"/>
          <w:b/>
          <w:i/>
          <w:sz w:val="24"/>
          <w:szCs w:val="24"/>
        </w:rPr>
        <w:t>uya implementación se llevaría a cabo a concesión de la FUS a partir de enero de 2020.</w:t>
      </w:r>
    </w:p>
    <w:p w:rsidR="00F3773B" w:rsidRDefault="00F3773B" w:rsidP="00F3773B">
      <w:pPr>
        <w:spacing w:line="240" w:lineRule="auto"/>
        <w:jc w:val="both"/>
        <w:rPr>
          <w:rFonts w:ascii="Arial" w:hAnsi="Arial" w:cs="Arial"/>
          <w:i/>
          <w:sz w:val="24"/>
          <w:szCs w:val="24"/>
        </w:rPr>
      </w:pPr>
      <w:r w:rsidRPr="00F3773B">
        <w:rPr>
          <w:rFonts w:ascii="Arial" w:hAnsi="Arial" w:cs="Arial"/>
          <w:i/>
          <w:sz w:val="24"/>
          <w:szCs w:val="24"/>
        </w:rPr>
        <w:t>La síntesis del trabajo no solo impidió abarcar a la totalidad de las licenciaturas, en las que entendemos, justifican la diferencia salarial, en tanto, su formación titulada no solo habilita a desempeñar más, sino mejores las tareas, lo que redunda en mejores prestaciones de</w:t>
      </w:r>
      <w:r>
        <w:rPr>
          <w:rFonts w:ascii="Arial" w:hAnsi="Arial" w:cs="Arial"/>
          <w:i/>
          <w:sz w:val="24"/>
          <w:szCs w:val="24"/>
        </w:rPr>
        <w:t xml:space="preserve"> </w:t>
      </w:r>
      <w:r w:rsidRPr="00F3773B">
        <w:rPr>
          <w:rFonts w:ascii="Arial" w:hAnsi="Arial" w:cs="Arial"/>
          <w:i/>
          <w:sz w:val="24"/>
          <w:szCs w:val="24"/>
        </w:rPr>
        <w:t>calidad, sino que los obliga a hacerlo distinto a como se realizaba en el pasado, aunque tenga el cargo de “técnicos” porque la formación implica una nueva forma de hacer. Se limitó a tres licenciaturas, y sólo, si hacen las tareas identificadas, y en algunos casos, con restricciones dadas por el</w:t>
      </w:r>
      <w:r w:rsidR="00066038">
        <w:rPr>
          <w:rFonts w:ascii="Arial" w:hAnsi="Arial" w:cs="Arial"/>
          <w:i/>
          <w:sz w:val="24"/>
          <w:szCs w:val="24"/>
        </w:rPr>
        <w:t xml:space="preserve"> lugar de trabajo. Lo cual no compartimos</w:t>
      </w:r>
      <w:r w:rsidRPr="00F3773B">
        <w:rPr>
          <w:rFonts w:ascii="Arial" w:hAnsi="Arial" w:cs="Arial"/>
          <w:i/>
          <w:sz w:val="24"/>
          <w:szCs w:val="24"/>
        </w:rPr>
        <w:t>, porque si un trabajador realiza las tareas propias de su formación debe ser remunerado en función de ello, sin perjuicio del lugar donde las lleva a cabo.</w:t>
      </w:r>
    </w:p>
    <w:p w:rsidR="00D002D8" w:rsidRDefault="00F3773B" w:rsidP="00F3773B">
      <w:pPr>
        <w:spacing w:line="240" w:lineRule="auto"/>
        <w:jc w:val="both"/>
        <w:rPr>
          <w:rFonts w:ascii="Arial" w:hAnsi="Arial" w:cs="Arial"/>
          <w:i/>
          <w:sz w:val="24"/>
          <w:szCs w:val="24"/>
        </w:rPr>
      </w:pPr>
      <w:r w:rsidRPr="00F3773B">
        <w:rPr>
          <w:rFonts w:ascii="Arial" w:hAnsi="Arial" w:cs="Arial"/>
          <w:i/>
          <w:sz w:val="24"/>
          <w:szCs w:val="24"/>
        </w:rPr>
        <w:t>El resultado fue: solo tres licenciaturas con funciones notoriamente distintas al técnico, algunas de las cuales con limitaciones de cobertura y por si fuera poco, con un laudo sensiblemente menor al propuesto por la FUS.</w:t>
      </w:r>
    </w:p>
    <w:p w:rsidR="00606F10" w:rsidRDefault="00D002D8" w:rsidP="00F3773B">
      <w:pPr>
        <w:spacing w:line="240" w:lineRule="auto"/>
        <w:jc w:val="both"/>
        <w:rPr>
          <w:rFonts w:ascii="Arial" w:hAnsi="Arial" w:cs="Arial"/>
          <w:i/>
          <w:sz w:val="24"/>
          <w:szCs w:val="24"/>
        </w:rPr>
      </w:pPr>
      <w:r w:rsidRPr="00FF2EF7">
        <w:rPr>
          <w:rFonts w:ascii="Arial" w:hAnsi="Arial" w:cs="Arial"/>
          <w:b/>
          <w:i/>
          <w:sz w:val="24"/>
          <w:szCs w:val="24"/>
        </w:rPr>
        <w:t>En resumen</w:t>
      </w:r>
      <w:r w:rsidR="00F3773B" w:rsidRPr="00FF2EF7">
        <w:rPr>
          <w:rFonts w:ascii="Arial" w:hAnsi="Arial" w:cs="Arial"/>
          <w:b/>
          <w:i/>
          <w:sz w:val="24"/>
          <w:szCs w:val="24"/>
        </w:rPr>
        <w:t xml:space="preserve"> </w:t>
      </w:r>
      <w:r w:rsidRPr="00FF2EF7">
        <w:rPr>
          <w:rFonts w:ascii="Arial" w:hAnsi="Arial" w:cs="Arial"/>
          <w:b/>
          <w:i/>
          <w:sz w:val="24"/>
          <w:szCs w:val="24"/>
        </w:rPr>
        <w:t>e</w:t>
      </w:r>
      <w:r w:rsidR="00F3773B" w:rsidRPr="00FF2EF7">
        <w:rPr>
          <w:rFonts w:ascii="Arial" w:hAnsi="Arial" w:cs="Arial"/>
          <w:b/>
          <w:i/>
          <w:sz w:val="24"/>
          <w:szCs w:val="24"/>
        </w:rPr>
        <w:t>ntendemos y reafirmamos, que las licenciaturas por sí mismas justifican la diferenciación salarial, sin perjuicio del lugar o del pr</w:t>
      </w:r>
      <w:r w:rsidR="00606F10" w:rsidRPr="00FF2EF7">
        <w:rPr>
          <w:rFonts w:ascii="Arial" w:hAnsi="Arial" w:cs="Arial"/>
          <w:b/>
          <w:i/>
          <w:sz w:val="24"/>
          <w:szCs w:val="24"/>
        </w:rPr>
        <w:t>ograma en que la desempeñen.  A</w:t>
      </w:r>
      <w:r w:rsidR="00F3773B" w:rsidRPr="00FF2EF7">
        <w:rPr>
          <w:rFonts w:ascii="Arial" w:hAnsi="Arial" w:cs="Arial"/>
          <w:b/>
          <w:i/>
          <w:sz w:val="24"/>
          <w:szCs w:val="24"/>
        </w:rPr>
        <w:t>firmamos que</w:t>
      </w:r>
      <w:r w:rsidR="00606F10" w:rsidRPr="00FF2EF7">
        <w:rPr>
          <w:rFonts w:ascii="Arial" w:hAnsi="Arial" w:cs="Arial"/>
          <w:b/>
          <w:i/>
          <w:sz w:val="24"/>
          <w:szCs w:val="24"/>
        </w:rPr>
        <w:t xml:space="preserve"> la posición expresada por los prestadores de salud</w:t>
      </w:r>
      <w:r w:rsidR="00F3773B" w:rsidRPr="00FF2EF7">
        <w:rPr>
          <w:rFonts w:ascii="Arial" w:hAnsi="Arial" w:cs="Arial"/>
          <w:b/>
          <w:i/>
          <w:sz w:val="24"/>
          <w:szCs w:val="24"/>
        </w:rPr>
        <w:t xml:space="preserve"> implica desaprovechar potencialidades de las pe</w:t>
      </w:r>
      <w:r w:rsidR="00606F10" w:rsidRPr="00FF2EF7">
        <w:rPr>
          <w:rFonts w:ascii="Arial" w:hAnsi="Arial" w:cs="Arial"/>
          <w:b/>
          <w:i/>
          <w:sz w:val="24"/>
          <w:szCs w:val="24"/>
        </w:rPr>
        <w:t>rsonas que redundan en  mejores prestaciones de salud para los usuarios</w:t>
      </w:r>
      <w:r w:rsidR="00606F10">
        <w:rPr>
          <w:rFonts w:ascii="Arial" w:hAnsi="Arial" w:cs="Arial"/>
          <w:i/>
          <w:sz w:val="24"/>
          <w:szCs w:val="24"/>
        </w:rPr>
        <w:t>.</w:t>
      </w:r>
    </w:p>
    <w:p w:rsidR="00F3773B" w:rsidRDefault="00F3773B" w:rsidP="00F3773B">
      <w:pPr>
        <w:spacing w:line="240" w:lineRule="auto"/>
        <w:jc w:val="both"/>
        <w:rPr>
          <w:rFonts w:ascii="Arial" w:hAnsi="Arial" w:cs="Arial"/>
          <w:i/>
          <w:sz w:val="24"/>
          <w:szCs w:val="24"/>
        </w:rPr>
      </w:pPr>
      <w:r w:rsidRPr="00F3773B">
        <w:rPr>
          <w:rFonts w:ascii="Arial" w:hAnsi="Arial" w:cs="Arial"/>
          <w:i/>
          <w:sz w:val="24"/>
          <w:szCs w:val="24"/>
        </w:rPr>
        <w:lastRenderedPageBreak/>
        <w:t xml:space="preserve"> La reforma </w:t>
      </w:r>
      <w:r w:rsidR="00606F10">
        <w:rPr>
          <w:rFonts w:ascii="Arial" w:hAnsi="Arial" w:cs="Arial"/>
          <w:i/>
          <w:sz w:val="24"/>
          <w:szCs w:val="24"/>
        </w:rPr>
        <w:t xml:space="preserve">de la salud </w:t>
      </w:r>
      <w:r w:rsidRPr="00F3773B">
        <w:rPr>
          <w:rFonts w:ascii="Arial" w:hAnsi="Arial" w:cs="Arial"/>
          <w:i/>
          <w:sz w:val="24"/>
          <w:szCs w:val="24"/>
        </w:rPr>
        <w:t>requiere una permanente profundización, y par</w:t>
      </w:r>
      <w:r>
        <w:rPr>
          <w:rFonts w:ascii="Arial" w:hAnsi="Arial" w:cs="Arial"/>
          <w:i/>
          <w:sz w:val="24"/>
          <w:szCs w:val="24"/>
        </w:rPr>
        <w:t xml:space="preserve">a </w:t>
      </w:r>
      <w:r w:rsidRPr="00F3773B">
        <w:rPr>
          <w:rFonts w:ascii="Arial" w:hAnsi="Arial" w:cs="Arial"/>
          <w:i/>
          <w:sz w:val="24"/>
          <w:szCs w:val="24"/>
        </w:rPr>
        <w:t>ello es necesario más y mejor formación. Reconocerlo es un primer paso para avanzar en la transformación, no hacerlo es darle la espalda al desarrollo.</w:t>
      </w:r>
    </w:p>
    <w:p w:rsidR="00606F10" w:rsidRDefault="00606F10" w:rsidP="00F3773B">
      <w:pPr>
        <w:spacing w:line="240" w:lineRule="auto"/>
        <w:jc w:val="both"/>
        <w:rPr>
          <w:rFonts w:ascii="Arial" w:hAnsi="Arial" w:cs="Arial"/>
          <w:i/>
          <w:sz w:val="24"/>
          <w:szCs w:val="24"/>
        </w:rPr>
      </w:pPr>
    </w:p>
    <w:p w:rsidR="00606F10" w:rsidRDefault="00606F10" w:rsidP="00F3773B">
      <w:pPr>
        <w:spacing w:line="240" w:lineRule="auto"/>
        <w:jc w:val="both"/>
        <w:rPr>
          <w:rFonts w:ascii="Arial" w:hAnsi="Arial" w:cs="Arial"/>
          <w:i/>
          <w:sz w:val="24"/>
          <w:szCs w:val="24"/>
        </w:rPr>
      </w:pPr>
      <w:r>
        <w:rPr>
          <w:rFonts w:ascii="Arial" w:hAnsi="Arial" w:cs="Arial"/>
          <w:i/>
          <w:sz w:val="24"/>
          <w:szCs w:val="24"/>
        </w:rPr>
        <w:t>Esto último es justamente lo que expresa tanto el documento presentado como las argumentaciones sostenidas a lo largo de la negociación por el sector de los prestadores de salud.</w:t>
      </w:r>
    </w:p>
    <w:p w:rsidR="00606F10" w:rsidRDefault="00606F10" w:rsidP="00F3773B">
      <w:pPr>
        <w:spacing w:line="240" w:lineRule="auto"/>
        <w:jc w:val="both"/>
        <w:rPr>
          <w:rFonts w:ascii="Arial" w:hAnsi="Arial" w:cs="Arial"/>
          <w:i/>
          <w:sz w:val="24"/>
          <w:szCs w:val="24"/>
        </w:rPr>
      </w:pPr>
    </w:p>
    <w:p w:rsidR="00606F10" w:rsidRPr="00606F10" w:rsidRDefault="00606F10" w:rsidP="00606F10">
      <w:pPr>
        <w:spacing w:line="240" w:lineRule="auto"/>
        <w:jc w:val="center"/>
        <w:rPr>
          <w:rFonts w:ascii="Arial" w:hAnsi="Arial" w:cs="Arial"/>
          <w:b/>
          <w:i/>
          <w:sz w:val="24"/>
          <w:szCs w:val="24"/>
        </w:rPr>
      </w:pPr>
      <w:r w:rsidRPr="00606F10">
        <w:rPr>
          <w:rFonts w:ascii="Arial" w:hAnsi="Arial" w:cs="Arial"/>
          <w:b/>
          <w:i/>
          <w:sz w:val="24"/>
          <w:szCs w:val="24"/>
        </w:rPr>
        <w:t>FEDERACION URUGUAYA DE LA SALUD</w:t>
      </w:r>
    </w:p>
    <w:p w:rsidR="00606F10" w:rsidRPr="00606F10" w:rsidRDefault="00606F10" w:rsidP="00606F10">
      <w:pPr>
        <w:spacing w:line="240" w:lineRule="auto"/>
        <w:jc w:val="center"/>
        <w:rPr>
          <w:rFonts w:ascii="Arial" w:hAnsi="Arial" w:cs="Arial"/>
          <w:b/>
          <w:i/>
          <w:sz w:val="24"/>
          <w:szCs w:val="24"/>
        </w:rPr>
      </w:pPr>
      <w:r w:rsidRPr="00606F10">
        <w:rPr>
          <w:rFonts w:ascii="Arial" w:hAnsi="Arial" w:cs="Arial"/>
          <w:b/>
          <w:i/>
          <w:sz w:val="24"/>
          <w:szCs w:val="24"/>
        </w:rPr>
        <w:t>PITCNT</w:t>
      </w:r>
    </w:p>
    <w:p w:rsidR="00606F10" w:rsidRPr="00F3773B" w:rsidRDefault="00606F10" w:rsidP="00F3773B">
      <w:pPr>
        <w:spacing w:line="240" w:lineRule="auto"/>
        <w:jc w:val="both"/>
        <w:rPr>
          <w:rFonts w:ascii="Arial" w:hAnsi="Arial" w:cs="Arial"/>
          <w:i/>
          <w:sz w:val="24"/>
          <w:szCs w:val="24"/>
        </w:rPr>
      </w:pPr>
      <w:r>
        <w:rPr>
          <w:rFonts w:ascii="Arial" w:hAnsi="Arial" w:cs="Arial"/>
          <w:i/>
          <w:sz w:val="24"/>
          <w:szCs w:val="24"/>
        </w:rPr>
        <w:t xml:space="preserve"> </w:t>
      </w:r>
    </w:p>
    <w:p w:rsidR="00F3773B" w:rsidRPr="00F3773B" w:rsidRDefault="00F3773B" w:rsidP="00F3773B">
      <w:pPr>
        <w:spacing w:line="240" w:lineRule="auto"/>
        <w:jc w:val="both"/>
        <w:rPr>
          <w:rFonts w:ascii="Arial" w:hAnsi="Arial" w:cs="Arial"/>
          <w:i/>
          <w:sz w:val="24"/>
          <w:szCs w:val="24"/>
        </w:rPr>
        <w:sectPr w:rsidR="00F3773B" w:rsidRPr="00F3773B">
          <w:footerReference w:type="default" r:id="rId8"/>
          <w:pgSz w:w="11910" w:h="16840"/>
          <w:pgMar w:top="1380" w:right="1580" w:bottom="280" w:left="1680" w:header="720" w:footer="720" w:gutter="0"/>
          <w:cols w:space="720"/>
        </w:sectPr>
      </w:pPr>
    </w:p>
    <w:p w:rsidR="00F3773B" w:rsidRPr="00F3773B" w:rsidRDefault="00F3773B" w:rsidP="00F3773B">
      <w:pPr>
        <w:spacing w:line="240" w:lineRule="auto"/>
        <w:jc w:val="both"/>
        <w:rPr>
          <w:rFonts w:ascii="Arial" w:hAnsi="Arial" w:cs="Arial"/>
          <w:i/>
          <w:sz w:val="24"/>
          <w:szCs w:val="24"/>
        </w:rPr>
      </w:pPr>
    </w:p>
    <w:p w:rsidR="00F3773B" w:rsidRPr="00F3773B" w:rsidRDefault="00F3773B" w:rsidP="00F3773B">
      <w:pPr>
        <w:spacing w:line="240" w:lineRule="auto"/>
        <w:jc w:val="both"/>
        <w:rPr>
          <w:rFonts w:ascii="Arial" w:hAnsi="Arial" w:cs="Arial"/>
          <w:i/>
          <w:sz w:val="24"/>
          <w:szCs w:val="24"/>
        </w:rPr>
      </w:pPr>
    </w:p>
    <w:p w:rsidR="00F3773B" w:rsidRPr="00F3773B" w:rsidRDefault="00F3773B" w:rsidP="00F3773B">
      <w:pPr>
        <w:spacing w:line="240" w:lineRule="auto"/>
        <w:jc w:val="both"/>
        <w:rPr>
          <w:rFonts w:ascii="Arial" w:hAnsi="Arial" w:cs="Arial"/>
          <w:i/>
          <w:sz w:val="24"/>
          <w:szCs w:val="24"/>
        </w:rPr>
      </w:pPr>
    </w:p>
    <w:p w:rsidR="00F3773B" w:rsidRPr="00F3773B" w:rsidRDefault="00F3773B" w:rsidP="00F3773B">
      <w:pPr>
        <w:spacing w:line="240" w:lineRule="auto"/>
        <w:jc w:val="both"/>
        <w:rPr>
          <w:rFonts w:ascii="Arial" w:hAnsi="Arial" w:cs="Arial"/>
          <w:i/>
          <w:sz w:val="24"/>
          <w:szCs w:val="24"/>
        </w:rPr>
        <w:sectPr w:rsidR="00F3773B" w:rsidRPr="00F3773B">
          <w:pgSz w:w="11910" w:h="16840"/>
          <w:pgMar w:top="1380" w:right="1580" w:bottom="280" w:left="1680" w:header="720" w:footer="720" w:gutter="0"/>
          <w:cols w:space="720"/>
        </w:sectPr>
      </w:pPr>
    </w:p>
    <w:p w:rsidR="00F3773B" w:rsidRPr="00F3773B" w:rsidRDefault="00F3773B" w:rsidP="00F3773B">
      <w:pPr>
        <w:spacing w:line="240" w:lineRule="auto"/>
        <w:jc w:val="both"/>
        <w:rPr>
          <w:rFonts w:ascii="Arial" w:hAnsi="Arial" w:cs="Arial"/>
          <w:i/>
          <w:sz w:val="24"/>
          <w:szCs w:val="24"/>
        </w:rPr>
      </w:pPr>
    </w:p>
    <w:p w:rsidR="00F3773B" w:rsidRPr="00F3773B" w:rsidRDefault="00F3773B" w:rsidP="00F3773B">
      <w:pPr>
        <w:spacing w:line="240" w:lineRule="auto"/>
        <w:jc w:val="both"/>
        <w:rPr>
          <w:rFonts w:ascii="Arial" w:hAnsi="Arial" w:cs="Arial"/>
          <w:i/>
          <w:sz w:val="24"/>
          <w:szCs w:val="24"/>
        </w:rPr>
      </w:pPr>
    </w:p>
    <w:p w:rsidR="00F3773B" w:rsidRPr="00F3773B" w:rsidRDefault="00F3773B" w:rsidP="00F3773B">
      <w:pPr>
        <w:spacing w:line="240" w:lineRule="auto"/>
        <w:jc w:val="both"/>
        <w:rPr>
          <w:rFonts w:ascii="Arial" w:hAnsi="Arial" w:cs="Arial"/>
          <w:i/>
          <w:sz w:val="24"/>
          <w:szCs w:val="24"/>
        </w:rPr>
      </w:pPr>
    </w:p>
    <w:p w:rsidR="00F3773B" w:rsidRDefault="00F3773B" w:rsidP="00F3773B">
      <w:pPr>
        <w:spacing w:line="240" w:lineRule="auto"/>
        <w:jc w:val="both"/>
        <w:rPr>
          <w:rFonts w:ascii="Arial" w:hAnsi="Arial" w:cs="Arial"/>
          <w:i/>
          <w:sz w:val="24"/>
          <w:szCs w:val="24"/>
        </w:rPr>
      </w:pPr>
    </w:p>
    <w:p w:rsidR="00F3773B" w:rsidRPr="00F3773B" w:rsidRDefault="00F3773B" w:rsidP="00F3773B">
      <w:pPr>
        <w:spacing w:line="240" w:lineRule="auto"/>
        <w:jc w:val="both"/>
        <w:rPr>
          <w:rFonts w:ascii="Arial" w:hAnsi="Arial" w:cs="Arial"/>
          <w:i/>
          <w:sz w:val="24"/>
          <w:szCs w:val="24"/>
        </w:rPr>
        <w:sectPr w:rsidR="00F3773B" w:rsidRPr="00F3773B">
          <w:pgSz w:w="11910" w:h="16840"/>
          <w:pgMar w:top="1380" w:right="1580" w:bottom="280" w:left="1680" w:header="720" w:footer="720" w:gutter="0"/>
          <w:cols w:space="720"/>
        </w:sectPr>
      </w:pPr>
    </w:p>
    <w:p w:rsidR="0054760A" w:rsidRPr="00F3773B" w:rsidRDefault="0054760A" w:rsidP="00F3773B">
      <w:pPr>
        <w:spacing w:line="240" w:lineRule="auto"/>
        <w:jc w:val="both"/>
        <w:rPr>
          <w:rFonts w:ascii="Arial" w:hAnsi="Arial" w:cs="Arial"/>
          <w:i/>
          <w:sz w:val="24"/>
          <w:szCs w:val="24"/>
        </w:rPr>
      </w:pPr>
    </w:p>
    <w:sectPr w:rsidR="0054760A" w:rsidRPr="00F3773B" w:rsidSect="0080408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CFB" w:rsidRDefault="00352CFB" w:rsidP="00DB0DD0">
      <w:pPr>
        <w:spacing w:after="0" w:line="240" w:lineRule="auto"/>
      </w:pPr>
      <w:r>
        <w:separator/>
      </w:r>
    </w:p>
  </w:endnote>
  <w:endnote w:type="continuationSeparator" w:id="1">
    <w:p w:rsidR="00352CFB" w:rsidRDefault="00352CFB" w:rsidP="00DB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67712"/>
      <w:docPartObj>
        <w:docPartGallery w:val="Page Numbers (Bottom of Page)"/>
        <w:docPartUnique/>
      </w:docPartObj>
    </w:sdtPr>
    <w:sdtContent>
      <w:p w:rsidR="00DB0DD0" w:rsidRDefault="00DB0DD0">
        <w:pPr>
          <w:pStyle w:val="Piedepgina"/>
          <w:jc w:val="center"/>
        </w:pPr>
        <w:fldSimple w:instr=" PAGE   \* MERGEFORMAT ">
          <w:r w:rsidR="00FF2EF7">
            <w:rPr>
              <w:noProof/>
            </w:rPr>
            <w:t>3</w:t>
          </w:r>
        </w:fldSimple>
      </w:p>
    </w:sdtContent>
  </w:sdt>
  <w:p w:rsidR="00DB0DD0" w:rsidRDefault="00DB0D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CFB" w:rsidRDefault="00352CFB" w:rsidP="00DB0DD0">
      <w:pPr>
        <w:spacing w:after="0" w:line="240" w:lineRule="auto"/>
      </w:pPr>
      <w:r>
        <w:separator/>
      </w:r>
    </w:p>
  </w:footnote>
  <w:footnote w:type="continuationSeparator" w:id="1">
    <w:p w:rsidR="00352CFB" w:rsidRDefault="00352CFB" w:rsidP="00DB0D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91EA3"/>
    <w:multiLevelType w:val="hybridMultilevel"/>
    <w:tmpl w:val="094CF3F6"/>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3F781EA7"/>
    <w:multiLevelType w:val="hybridMultilevel"/>
    <w:tmpl w:val="5FE441C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54A47176"/>
    <w:multiLevelType w:val="hybridMultilevel"/>
    <w:tmpl w:val="1248D73E"/>
    <w:lvl w:ilvl="0" w:tplc="ECCAC3CC">
      <w:numFmt w:val="bullet"/>
      <w:lvlText w:val=""/>
      <w:lvlJc w:val="left"/>
      <w:pPr>
        <w:ind w:left="742" w:hanging="360"/>
      </w:pPr>
      <w:rPr>
        <w:rFonts w:hint="default"/>
        <w:w w:val="99"/>
        <w:lang w:val="es-ES" w:eastAsia="es-ES" w:bidi="es-ES"/>
      </w:rPr>
    </w:lvl>
    <w:lvl w:ilvl="1" w:tplc="22E86974">
      <w:numFmt w:val="bullet"/>
      <w:lvlText w:val="•"/>
      <w:lvlJc w:val="left"/>
      <w:pPr>
        <w:ind w:left="1530" w:hanging="360"/>
      </w:pPr>
      <w:rPr>
        <w:rFonts w:hint="default"/>
        <w:lang w:val="es-ES" w:eastAsia="es-ES" w:bidi="es-ES"/>
      </w:rPr>
    </w:lvl>
    <w:lvl w:ilvl="2" w:tplc="0CB4AD50">
      <w:numFmt w:val="bullet"/>
      <w:lvlText w:val="•"/>
      <w:lvlJc w:val="left"/>
      <w:pPr>
        <w:ind w:left="2321" w:hanging="360"/>
      </w:pPr>
      <w:rPr>
        <w:rFonts w:hint="default"/>
        <w:lang w:val="es-ES" w:eastAsia="es-ES" w:bidi="es-ES"/>
      </w:rPr>
    </w:lvl>
    <w:lvl w:ilvl="3" w:tplc="7F844BF4">
      <w:numFmt w:val="bullet"/>
      <w:lvlText w:val="•"/>
      <w:lvlJc w:val="left"/>
      <w:pPr>
        <w:ind w:left="3111" w:hanging="360"/>
      </w:pPr>
      <w:rPr>
        <w:rFonts w:hint="default"/>
        <w:lang w:val="es-ES" w:eastAsia="es-ES" w:bidi="es-ES"/>
      </w:rPr>
    </w:lvl>
    <w:lvl w:ilvl="4" w:tplc="452E6E96">
      <w:numFmt w:val="bullet"/>
      <w:lvlText w:val="•"/>
      <w:lvlJc w:val="left"/>
      <w:pPr>
        <w:ind w:left="3902" w:hanging="360"/>
      </w:pPr>
      <w:rPr>
        <w:rFonts w:hint="default"/>
        <w:lang w:val="es-ES" w:eastAsia="es-ES" w:bidi="es-ES"/>
      </w:rPr>
    </w:lvl>
    <w:lvl w:ilvl="5" w:tplc="08B2DA08">
      <w:numFmt w:val="bullet"/>
      <w:lvlText w:val="•"/>
      <w:lvlJc w:val="left"/>
      <w:pPr>
        <w:ind w:left="4693" w:hanging="360"/>
      </w:pPr>
      <w:rPr>
        <w:rFonts w:hint="default"/>
        <w:lang w:val="es-ES" w:eastAsia="es-ES" w:bidi="es-ES"/>
      </w:rPr>
    </w:lvl>
    <w:lvl w:ilvl="6" w:tplc="E398C1CE">
      <w:numFmt w:val="bullet"/>
      <w:lvlText w:val="•"/>
      <w:lvlJc w:val="left"/>
      <w:pPr>
        <w:ind w:left="5483" w:hanging="360"/>
      </w:pPr>
      <w:rPr>
        <w:rFonts w:hint="default"/>
        <w:lang w:val="es-ES" w:eastAsia="es-ES" w:bidi="es-ES"/>
      </w:rPr>
    </w:lvl>
    <w:lvl w:ilvl="7" w:tplc="9D263FE8">
      <w:numFmt w:val="bullet"/>
      <w:lvlText w:val="•"/>
      <w:lvlJc w:val="left"/>
      <w:pPr>
        <w:ind w:left="6274" w:hanging="360"/>
      </w:pPr>
      <w:rPr>
        <w:rFonts w:hint="default"/>
        <w:lang w:val="es-ES" w:eastAsia="es-ES" w:bidi="es-ES"/>
      </w:rPr>
    </w:lvl>
    <w:lvl w:ilvl="8" w:tplc="17126448">
      <w:numFmt w:val="bullet"/>
      <w:lvlText w:val="•"/>
      <w:lvlJc w:val="left"/>
      <w:pPr>
        <w:ind w:left="7065" w:hanging="360"/>
      </w:pPr>
      <w:rPr>
        <w:rFonts w:hint="default"/>
        <w:lang w:val="es-ES" w:eastAsia="es-ES" w:bidi="es-E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F972C8"/>
    <w:rsid w:val="0000756D"/>
    <w:rsid w:val="00061E89"/>
    <w:rsid w:val="00066038"/>
    <w:rsid w:val="00070A3F"/>
    <w:rsid w:val="0011376A"/>
    <w:rsid w:val="002462E9"/>
    <w:rsid w:val="002C1322"/>
    <w:rsid w:val="002C6F14"/>
    <w:rsid w:val="00352CFB"/>
    <w:rsid w:val="003C6EF0"/>
    <w:rsid w:val="003D2C46"/>
    <w:rsid w:val="003D2F7F"/>
    <w:rsid w:val="003E11B7"/>
    <w:rsid w:val="003F27C3"/>
    <w:rsid w:val="00467A88"/>
    <w:rsid w:val="00522A9E"/>
    <w:rsid w:val="0054760A"/>
    <w:rsid w:val="00600909"/>
    <w:rsid w:val="00606F10"/>
    <w:rsid w:val="0063011D"/>
    <w:rsid w:val="00675293"/>
    <w:rsid w:val="00686EEC"/>
    <w:rsid w:val="00742B87"/>
    <w:rsid w:val="00763C00"/>
    <w:rsid w:val="00790E1E"/>
    <w:rsid w:val="0080408C"/>
    <w:rsid w:val="00805343"/>
    <w:rsid w:val="00965DC3"/>
    <w:rsid w:val="00975CEA"/>
    <w:rsid w:val="009B2167"/>
    <w:rsid w:val="009E182C"/>
    <w:rsid w:val="00A2590C"/>
    <w:rsid w:val="00AA571E"/>
    <w:rsid w:val="00AD0257"/>
    <w:rsid w:val="00B5330E"/>
    <w:rsid w:val="00BD293B"/>
    <w:rsid w:val="00CB0FE7"/>
    <w:rsid w:val="00CB1686"/>
    <w:rsid w:val="00D002D8"/>
    <w:rsid w:val="00DA0F64"/>
    <w:rsid w:val="00DB0DD0"/>
    <w:rsid w:val="00EA2017"/>
    <w:rsid w:val="00F3773B"/>
    <w:rsid w:val="00F972C8"/>
    <w:rsid w:val="00FF2EF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08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756D"/>
    <w:pPr>
      <w:spacing w:after="0" w:line="240" w:lineRule="auto"/>
    </w:pPr>
  </w:style>
  <w:style w:type="paragraph" w:styleId="Textodeglobo">
    <w:name w:val="Balloon Text"/>
    <w:basedOn w:val="Normal"/>
    <w:link w:val="TextodegloboCar"/>
    <w:uiPriority w:val="99"/>
    <w:semiHidden/>
    <w:unhideWhenUsed/>
    <w:rsid w:val="00630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11D"/>
    <w:rPr>
      <w:rFonts w:ascii="Tahoma" w:hAnsi="Tahoma" w:cs="Tahoma"/>
      <w:sz w:val="16"/>
      <w:szCs w:val="16"/>
    </w:rPr>
  </w:style>
  <w:style w:type="paragraph" w:styleId="Textoindependiente">
    <w:name w:val="Body Text"/>
    <w:basedOn w:val="Normal"/>
    <w:link w:val="TextoindependienteCar"/>
    <w:uiPriority w:val="1"/>
    <w:qFormat/>
    <w:rsid w:val="00F3773B"/>
    <w:pPr>
      <w:widowControl w:val="0"/>
      <w:autoSpaceDE w:val="0"/>
      <w:autoSpaceDN w:val="0"/>
      <w:spacing w:after="0" w:line="240" w:lineRule="auto"/>
      <w:ind w:left="741"/>
      <w:jc w:val="both"/>
    </w:pPr>
    <w:rPr>
      <w:rFonts w:ascii="Calibri" w:eastAsia="Calibri" w:hAnsi="Calibri" w:cs="Calibri"/>
      <w:b/>
      <w:bCs/>
      <w:sz w:val="32"/>
      <w:szCs w:val="32"/>
      <w:lang w:val="es-ES" w:eastAsia="es-ES" w:bidi="es-ES"/>
    </w:rPr>
  </w:style>
  <w:style w:type="character" w:customStyle="1" w:styleId="TextoindependienteCar">
    <w:name w:val="Texto independiente Car"/>
    <w:basedOn w:val="Fuentedeprrafopredeter"/>
    <w:link w:val="Textoindependiente"/>
    <w:uiPriority w:val="1"/>
    <w:rsid w:val="00F3773B"/>
    <w:rPr>
      <w:rFonts w:ascii="Calibri" w:eastAsia="Calibri" w:hAnsi="Calibri" w:cs="Calibri"/>
      <w:b/>
      <w:bCs/>
      <w:sz w:val="32"/>
      <w:szCs w:val="32"/>
      <w:lang w:val="es-ES" w:eastAsia="es-ES" w:bidi="es-ES"/>
    </w:rPr>
  </w:style>
  <w:style w:type="paragraph" w:styleId="Prrafodelista">
    <w:name w:val="List Paragraph"/>
    <w:basedOn w:val="Normal"/>
    <w:uiPriority w:val="1"/>
    <w:qFormat/>
    <w:rsid w:val="00F3773B"/>
    <w:pPr>
      <w:widowControl w:val="0"/>
      <w:autoSpaceDE w:val="0"/>
      <w:autoSpaceDN w:val="0"/>
      <w:spacing w:after="0" w:line="240" w:lineRule="auto"/>
      <w:ind w:left="741" w:right="118" w:hanging="360"/>
      <w:jc w:val="both"/>
    </w:pPr>
    <w:rPr>
      <w:rFonts w:ascii="Calibri" w:eastAsia="Calibri" w:hAnsi="Calibri" w:cs="Calibri"/>
      <w:lang w:val="es-ES" w:eastAsia="es-ES" w:bidi="es-ES"/>
    </w:rPr>
  </w:style>
  <w:style w:type="paragraph" w:styleId="Encabezado">
    <w:name w:val="header"/>
    <w:basedOn w:val="Normal"/>
    <w:link w:val="EncabezadoCar"/>
    <w:uiPriority w:val="99"/>
    <w:semiHidden/>
    <w:unhideWhenUsed/>
    <w:rsid w:val="00DB0D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B0DD0"/>
  </w:style>
  <w:style w:type="paragraph" w:styleId="Piedepgina">
    <w:name w:val="footer"/>
    <w:basedOn w:val="Normal"/>
    <w:link w:val="PiedepginaCar"/>
    <w:uiPriority w:val="99"/>
    <w:unhideWhenUsed/>
    <w:rsid w:val="00DB0D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0D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938</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dc:creator>
  <cp:lastModifiedBy>Isa</cp:lastModifiedBy>
  <cp:revision>9</cp:revision>
  <cp:lastPrinted>2019-09-23T23:30:00Z</cp:lastPrinted>
  <dcterms:created xsi:type="dcterms:W3CDTF">2019-09-23T22:39:00Z</dcterms:created>
  <dcterms:modified xsi:type="dcterms:W3CDTF">2019-09-23T23:39:00Z</dcterms:modified>
</cp:coreProperties>
</file>